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辽宁省市场监督管理局</w:t>
      </w:r>
    </w:p>
    <w:p>
      <w:pPr>
        <w:spacing w:line="560" w:lineRule="exact"/>
        <w:jc w:val="center"/>
      </w:pPr>
      <w:r>
        <w:rPr>
          <w:rFonts w:hint="eastAsia" w:ascii="方正小标宋简体" w:hAnsi="方正小标宋简体" w:eastAsia="方正小标宋简体" w:cs="方正小标宋简体"/>
          <w:sz w:val="44"/>
          <w:szCs w:val="44"/>
        </w:rPr>
        <w:t>关于开展地方标准实施效果评价的通知</w:t>
      </w:r>
    </w:p>
    <w:p>
      <w:pPr>
        <w:spacing w:line="560" w:lineRule="exact"/>
        <w:ind w:firstLine="640" w:firstLineChars="200"/>
        <w:jc w:val="center"/>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各省（中）直单位，各市市场监督管理局：</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为落实二十届三中全会“地方标准管理制度改革”要求，建立地方标准实施效果评价机制，按照《市场监管总局等部门关于加强标准制定与实施监督工作的指导意见》（国市监标创发〔2025〕2号）要求，辽宁省市场监管局决定</w:t>
      </w:r>
      <w:bookmarkStart w:id="0" w:name="OLE_LINK2"/>
      <w:bookmarkStart w:id="1" w:name="OLE_LINK1"/>
      <w:r>
        <w:rPr>
          <w:rFonts w:hint="eastAsia" w:ascii="仿宋_GB2312" w:eastAsia="仿宋_GB2312"/>
          <w:sz w:val="32"/>
          <w:szCs w:val="32"/>
        </w:rPr>
        <w:t>组织开展</w:t>
      </w:r>
      <w:bookmarkEnd w:id="0"/>
      <w:bookmarkEnd w:id="1"/>
      <w:r>
        <w:rPr>
          <w:rFonts w:hint="eastAsia" w:ascii="仿宋_GB2312" w:eastAsia="仿宋_GB2312"/>
          <w:sz w:val="32"/>
          <w:szCs w:val="32"/>
        </w:rPr>
        <w:t>地方标准实施效果评价工作，具体要求如下。</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一、评价范围</w:t>
      </w:r>
    </w:p>
    <w:p>
      <w:pPr>
        <w:wordWrap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2021年12月31日以前发布的、现行有效的辽宁省地方标准和市级地方标准，具体标准明细详见附件1。</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二、工作安排</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各省（中）单位和各市市场监管局组织地方标准对口省级专业标准化技术委员会、标准主要起草单位或专家组，对本单位负责的地方标准，逐项开展实施效果评价。</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三、评价内容</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本次地方标准实施效果评价主要通过对地方标准适用性、协调性、被引用和实施效益等关键核心问题进行评价，客观、科学、有效、精准判断地方标准的应用实施效果。</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（一）标准适用性情况。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地方标准满足以下全部适用情况，可以判定为此项地方标准依然具有适用性：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1.地方标准主要内容符合地方标准制定范围，满足地方自然条件、风俗习惯等特殊技术要求；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2.地方标准主要技术指标与我省当前产业发展水平匹配，未被新技术、新工艺、新服务方式淘汰；</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3.地方标准的技术要求全面、合理，能够满足我省当前产业发展的新情况、新问题和新需求。</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（二）标准协调性情况。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地方标准满足以下全部协调性情况，可以判定为此项地方标准依然满足协调性：</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1.地方标准主要内容符合相关法律法规、部门规章或产业政策要求；</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2.地方标准主要技术指标不低于对应现行有效的强制性标准技术指标；</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3.地方标准主要内容与现行有效的国家标准、行业标准和地方标准不冲突。</w:t>
      </w:r>
    </w:p>
    <w:p>
      <w:pPr>
        <w:spacing w:line="560" w:lineRule="exact"/>
        <w:ind w:left="420" w:leftChars="200"/>
        <w:jc w:val="left"/>
        <w:rPr>
          <w:rFonts w:ascii="楷体" w:hAnsi="楷体" w:eastAsia="楷体" w:cs="楷体"/>
          <w:sz w:val="32"/>
          <w:szCs w:val="32"/>
        </w:rPr>
      </w:pPr>
      <w:r>
        <w:rPr>
          <w:rFonts w:hint="eastAsia" w:ascii="楷体" w:hAnsi="楷体" w:eastAsia="楷体" w:cs="楷体"/>
          <w:sz w:val="32"/>
          <w:szCs w:val="32"/>
        </w:rPr>
        <w:t>（三）标准被引用情况。</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地方标准具有以下应用情况之一，可以判定为此项地方标准已被引用：</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1.作为辽宁省经济社会重点领域发展举措的情况，可提供省委、省政府相关文件；</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2.被辽宁省相关法规、规章等文件引用的情况，可提供法规、规章或发布文号；</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3.有关行政管理部门通过管理文件、规划等推动标准实施的情况，可提供有关文件和规划；</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4.被技术机构作为评估、评价依据的情况，可提供有关报告；</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5.已被行业企业大范围使用，包括企业标准信息平台公示、作为行业发展基础标准等，可提供平台公示页面截图、被引用的文件材料；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6.其他应用单位将标准作为生产经营管理及服务提供依据并且具有明确清晰的应用场景，场景内标准实施率超过50%的情况，可提供应用单位的应用文件和标准实施率统计数据。</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7.其他可以证明地方标准已被引用的情况。</w:t>
      </w:r>
    </w:p>
    <w:p>
      <w:pPr>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（四）实施效益情况。</w:t>
      </w:r>
    </w:p>
    <w:p>
      <w:pPr>
        <w:spacing w:line="560" w:lineRule="exact"/>
        <w:ind w:firstLine="640" w:firstLineChars="200"/>
        <w:jc w:val="left"/>
        <w:rPr>
          <w:rFonts w:ascii="楷体" w:hAnsi="楷体" w:eastAsia="楷体" w:cs="楷体"/>
          <w:sz w:val="32"/>
          <w:szCs w:val="32"/>
        </w:rPr>
      </w:pPr>
      <w:r>
        <w:rPr>
          <w:rFonts w:hint="eastAsia" w:ascii="仿宋_GB2312" w:eastAsia="仿宋_GB2312"/>
          <w:sz w:val="32"/>
          <w:szCs w:val="32"/>
        </w:rPr>
        <w:t>地方标准实施效益评价应从</w:t>
      </w:r>
      <w:r>
        <w:rPr>
          <w:rFonts w:hint="eastAsia" w:ascii="仿宋_GB2312" w:eastAsia="仿宋_GB2312"/>
          <w:b/>
          <w:bCs/>
          <w:sz w:val="32"/>
          <w:szCs w:val="32"/>
        </w:rPr>
        <w:t>定性</w:t>
      </w:r>
      <w:r>
        <w:rPr>
          <w:rFonts w:hint="eastAsia" w:ascii="仿宋_GB2312" w:eastAsia="仿宋_GB2312"/>
          <w:sz w:val="32"/>
          <w:szCs w:val="32"/>
        </w:rPr>
        <w:t>和</w:t>
      </w:r>
      <w:r>
        <w:rPr>
          <w:rFonts w:hint="eastAsia" w:ascii="仿宋_GB2312" w:eastAsia="仿宋_GB2312"/>
          <w:b/>
          <w:bCs/>
          <w:sz w:val="32"/>
          <w:szCs w:val="32"/>
        </w:rPr>
        <w:t>定量</w:t>
      </w:r>
      <w:r>
        <w:rPr>
          <w:rFonts w:hint="eastAsia" w:ascii="仿宋_GB2312" w:eastAsia="仿宋_GB2312"/>
          <w:sz w:val="32"/>
          <w:szCs w:val="32"/>
        </w:rPr>
        <w:t>两个角度予以评价，其中定性为：分析标准对保障民生、推动行业高质量发展、保护生态环境等方面的贡献和影响，确定地方标准是否具有经济效益、社会效益和生态效益；定量作为评价辅助内容，由可定量测算的地方标准填报，暂时无法计算的可不填报。</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四、工作要求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请各单位在2025年4月18日前，将本单位审核同意后《地方标准实施效果评价结果汇总表》（见附件2）、每项地方标准评价结果的有关证明材料，报送至省市场监管局。</w:t>
      </w:r>
      <w:r>
        <w:rPr>
          <w:rFonts w:hint="eastAsia" w:ascii="仿宋_GB2312" w:hAnsi="仿宋_GB2312" w:eastAsia="仿宋_GB2312" w:cs="仿宋_GB2312"/>
          <w:sz w:val="32"/>
          <w:szCs w:val="32"/>
        </w:rPr>
        <w:t>证明材料文件名称统一调整为：“地方标准编号-地方标准名称-证明材料”。</w:t>
      </w:r>
    </w:p>
    <w:p>
      <w:pPr>
        <w:spacing w:line="560" w:lineRule="exact"/>
        <w:ind w:firstLine="640" w:firstLineChars="200"/>
        <w:jc w:val="left"/>
        <w:rPr>
          <w:rFonts w:ascii="黑体" w:hAnsi="黑体" w:eastAsia="黑体" w:cs="黑体"/>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联系人：韩先一</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电话：024-23920779  13840447377</w:t>
      </w:r>
    </w:p>
    <w:p>
      <w:pPr>
        <w:spacing w:line="560" w:lineRule="exact"/>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电子邮箱：</w:t>
      </w:r>
      <w:r>
        <w:rPr>
          <w:rFonts w:ascii="Times New Roman" w:hAnsi="Times New Roman" w:eastAsia="仿宋_GB2312" w:cs="Times New Roman"/>
          <w:sz w:val="32"/>
          <w:szCs w:val="32"/>
        </w:rPr>
        <w:t>ln</w:t>
      </w:r>
      <w:r>
        <w:rPr>
          <w:rFonts w:hint="eastAsia" w:ascii="Times New Roman" w:hAnsi="Times New Roman" w:eastAsia="仿宋_GB2312" w:cs="Times New Roman"/>
          <w:sz w:val="32"/>
          <w:szCs w:val="32"/>
        </w:rPr>
        <w:t>dbspzx</w:t>
      </w:r>
      <w:r>
        <w:rPr>
          <w:rFonts w:ascii="Times New Roman" w:hAnsi="Times New Roman" w:eastAsia="仿宋_GB2312" w:cs="Times New Roman"/>
          <w:sz w:val="32"/>
          <w:szCs w:val="32"/>
        </w:rPr>
        <w:t>@163.com</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附件：1.地方标准目录</w:t>
      </w:r>
    </w:p>
    <w:p>
      <w:pPr>
        <w:spacing w:line="560" w:lineRule="exact"/>
        <w:ind w:firstLine="1600" w:firstLineChars="500"/>
        <w:jc w:val="left"/>
        <w:rPr>
          <w:rFonts w:ascii="仿宋_GB2312" w:eastAsia="仿宋_GB2312"/>
          <w:sz w:val="32"/>
          <w:szCs w:val="32"/>
        </w:rPr>
      </w:pPr>
      <w:r>
        <w:rPr>
          <w:rFonts w:hint="eastAsia" w:ascii="仿宋_GB2312" w:eastAsia="仿宋_GB2312"/>
          <w:sz w:val="32"/>
          <w:szCs w:val="32"/>
        </w:rPr>
        <w:t>2.地方标准实施效果评价结果汇总表</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4160" w:firstLineChars="1300"/>
        <w:jc w:val="left"/>
        <w:rPr>
          <w:rFonts w:ascii="仿宋_GB2312" w:eastAsia="仿宋_GB2312"/>
          <w:sz w:val="32"/>
          <w:szCs w:val="32"/>
        </w:rPr>
      </w:pPr>
      <w:r>
        <w:rPr>
          <w:rFonts w:hint="eastAsia" w:ascii="仿宋_GB2312" w:eastAsia="仿宋_GB2312"/>
          <w:sz w:val="32"/>
          <w:szCs w:val="32"/>
        </w:rPr>
        <w:t>辽宁省市场监督管理局</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2025年3月31日</w:t>
      </w:r>
    </w:p>
    <w:p>
      <w:pPr>
        <w:spacing w:line="560" w:lineRule="exact"/>
        <w:ind w:firstLine="640" w:firstLineChars="200"/>
        <w:jc w:val="left"/>
        <w:rPr>
          <w:rFonts w:ascii="仿宋_GB2312" w:eastAsia="仿宋_GB2312"/>
          <w:sz w:val="32"/>
          <w:szCs w:val="32"/>
        </w:rPr>
      </w:pPr>
    </w:p>
    <w:p>
      <w:pPr>
        <w:spacing w:line="560" w:lineRule="exact"/>
      </w:pPr>
    </w:p>
    <w:p>
      <w:pPr>
        <w:spacing w:line="560" w:lineRule="exact"/>
        <w:sectPr>
          <w:footerReference r:id="rId3" w:type="default"/>
          <w:pgSz w:w="11906" w:h="16838"/>
          <w:pgMar w:top="1440" w:right="1800" w:bottom="1440" w:left="1800" w:header="851" w:footer="992" w:gutter="0"/>
          <w:pgNumType w:fmt="numberInDash"/>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附件1-1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地方标准目录（省级）</w:t>
      </w:r>
    </w:p>
    <w:tbl>
      <w:tblPr>
        <w:tblStyle w:val="13"/>
        <w:tblW w:w="53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375"/>
        <w:gridCol w:w="4740"/>
        <w:gridCol w:w="2961"/>
        <w:gridCol w:w="250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blHeader/>
          <w:jc w:val="center"/>
        </w:trPr>
        <w:tc>
          <w:tcPr>
            <w:tcW w:w="297"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4"/>
                <w:szCs w:val="24"/>
              </w:rPr>
              <w:t>序号</w:t>
            </w:r>
          </w:p>
        </w:tc>
        <w:tc>
          <w:tcPr>
            <w:tcW w:w="789"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标准编号</w:t>
            </w:r>
          </w:p>
        </w:tc>
        <w:tc>
          <w:tcPr>
            <w:tcW w:w="1575"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标准名称</w:t>
            </w:r>
          </w:p>
        </w:tc>
        <w:tc>
          <w:tcPr>
            <w:tcW w:w="984"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主起草单位</w:t>
            </w:r>
          </w:p>
        </w:tc>
        <w:tc>
          <w:tcPr>
            <w:tcW w:w="832"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主管部门</w:t>
            </w:r>
          </w:p>
        </w:tc>
        <w:tc>
          <w:tcPr>
            <w:tcW w:w="520" w:type="pc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bookmarkStart w:id="2" w:name="_Hlk194315213"/>
            <w:r>
              <w:rPr>
                <w:rFonts w:hint="eastAsia" w:ascii="宋体" w:hAnsi="宋体" w:eastAsia="宋体" w:cs="宋体"/>
                <w:color w:val="auto"/>
                <w:kern w:val="0"/>
                <w:sz w:val="22"/>
                <w:lang w:bidi="ar"/>
              </w:rPr>
              <w:t>21</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1712.4-2012</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信息化工程监理实施方法 第4部分 软件工程监理实施方法</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辽宁北方实验室有限公司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22</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1712.5-2012</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信息化工程监理实施方法 第 5 部分 信息化工程安全监理实施方法</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辽宁北方实验室有限公司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23</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2139-2013</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计算机软件工程文档编号规范</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大连华信计算机技术股份有限公司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2013-08-20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24</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2347.3-2014</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信息技术行业职业技能 第 3 部分：软件开发</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东软集团股份有限公司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25</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1793.4-2016</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职业技能规范 第4部分：系统集成</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2016-09-27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26</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2919-2018</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智慧城市标准体系框架</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2018-01-22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27</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2920.2-2018</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智慧应用 第2部分：城市管理</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大连云帆科技有限公司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2018-01-22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28</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3098-2018</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辽宁省超短波监测管理服务接口规范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辽宁省无线电监测中心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2018-12-25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29</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3100-2018</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辽宁省VHF频段无线电台（站）电磁环境测试规范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辽宁省无线电监测中心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2018-12-25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30</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3097-2018</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辽宁省无线电管理一体化平台系统集成规范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辽宁省无线电监测中心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2018-12-25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31</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3099-2018</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辽宁省无线电管理一体化平台应用安全平台体系架构及应用规范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辽宁省无线电监测中心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2018-12-25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32</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1623-2019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机械工业产品防锈工艺技术要求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沈阳防锈包装材料有限责任公司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33</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2702.6-2019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信息安全 个人信息安全管理体系评价 第6部分：资格审核</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34</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1628.9-2019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信息安全 个人信息安全管理体系 附则</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35</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3175.1-2019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信息服务预算规范 第1部分：IT系统集成类</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36</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3175.2-2019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信息服务预算规范 第2部分：IT系统运维类</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37</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1799.1-2019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信息服务管理规范 第1部分：总则</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38</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1799.2-2019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信息服务管理规范 第2部分：IT系统集成</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39</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1799.3-2019</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信息技术 信息服务管理规范 第3部分：IT系统运维</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大连软件行业协会</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2019-09-30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40</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3467-2021</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无线电管理一体化平台级互联互通规范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辽宁省重大技术装备战略基地建设工程中心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2021-07-30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FF0000"/>
                <w:szCs w:val="21"/>
              </w:rPr>
            </w:pPr>
            <w:r>
              <w:rPr>
                <w:rFonts w:hint="eastAsia" w:ascii="宋体" w:hAnsi="宋体" w:eastAsia="宋体" w:cs="宋体"/>
                <w:color w:val="FF0000"/>
                <w:kern w:val="0"/>
                <w:sz w:val="22"/>
                <w:lang w:bidi="ar"/>
              </w:rPr>
              <w:t>41</w:t>
            </w:r>
          </w:p>
        </w:tc>
        <w:tc>
          <w:tcPr>
            <w:tcW w:w="789"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DB21/T 3468-2021</w:t>
            </w:r>
          </w:p>
        </w:tc>
        <w:tc>
          <w:tcPr>
            <w:tcW w:w="1575"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无线电管理一体化平台系统地理信息平台集成规范</w:t>
            </w:r>
          </w:p>
        </w:tc>
        <w:tc>
          <w:tcPr>
            <w:tcW w:w="984"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辽宁省重大技术装备战略基地建设工程中心</w:t>
            </w:r>
          </w:p>
        </w:tc>
        <w:tc>
          <w:tcPr>
            <w:tcW w:w="832"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辽宁省工业和信息化厅</w:t>
            </w:r>
          </w:p>
        </w:tc>
        <w:tc>
          <w:tcPr>
            <w:tcW w:w="520" w:type="pct"/>
            <w:vAlign w:val="center"/>
          </w:tcPr>
          <w:p>
            <w:pPr>
              <w:spacing w:line="240" w:lineRule="exact"/>
              <w:jc w:val="center"/>
              <w:rPr>
                <w:rFonts w:cs="宋体" w:asciiTheme="minorEastAsia" w:hAnsiTheme="minorEastAsia"/>
                <w:color w:val="FF0000"/>
                <w:szCs w:val="21"/>
              </w:rPr>
            </w:pPr>
            <w:r>
              <w:rPr>
                <w:rFonts w:hint="eastAsia" w:asciiTheme="minorEastAsia" w:hAnsiTheme="minorEastAsia"/>
                <w:color w:val="FF0000"/>
                <w:szCs w:val="21"/>
              </w:rPr>
              <w:t>2021-07-30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42</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3465-2021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计算机技术与软件专业技术资格（水平）考试管理规范</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辽宁省先进装备制造业基地建设工程中心</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43</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3466-2021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社会应急响应信息系统  基本要求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沈阳华睿博信息技术有限公司等</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44</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3469-2021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适合教室内姿态估计的标注规范</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沈阳航空航天大学</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2021-07-30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45</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3520-2021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ETC智慧停车场 总则</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辽宁高速通智慧出行有限责任公司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46</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3521-2021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ETC智慧停车场 标识标志要求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辽宁高速通智慧出行有限责任公司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47</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3522-2021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ETC智慧停车场 ETC关键设备建设要求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辽宁高速通智慧出行有限责任公司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48</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3523-2021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ETC智慧停车场 数据交互要求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辽宁高速通智慧出行有限责任公司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97" w:type="pct"/>
            <w:vAlign w:val="center"/>
          </w:tcPr>
          <w:p>
            <w:pPr>
              <w:widowControl/>
              <w:spacing w:line="240" w:lineRule="exact"/>
              <w:jc w:val="center"/>
              <w:textAlignment w:val="center"/>
              <w:rPr>
                <w:rFonts w:cs="宋体" w:asciiTheme="minorEastAsia" w:hAnsiTheme="minorEastAsia"/>
                <w:color w:val="auto"/>
                <w:szCs w:val="21"/>
              </w:rPr>
            </w:pPr>
            <w:r>
              <w:rPr>
                <w:rFonts w:hint="eastAsia" w:ascii="宋体" w:hAnsi="宋体" w:eastAsia="宋体" w:cs="宋体"/>
                <w:color w:val="auto"/>
                <w:kern w:val="0"/>
                <w:sz w:val="22"/>
                <w:lang w:bidi="ar"/>
              </w:rPr>
              <w:t>49</w:t>
            </w:r>
          </w:p>
        </w:tc>
        <w:tc>
          <w:tcPr>
            <w:tcW w:w="789"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DB21/T 3524-2021</w:t>
            </w:r>
          </w:p>
        </w:tc>
        <w:tc>
          <w:tcPr>
            <w:tcW w:w="1575"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ETC智慧停车场 运维要求</w:t>
            </w:r>
          </w:p>
        </w:tc>
        <w:tc>
          <w:tcPr>
            <w:tcW w:w="984"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辽宁高速通智慧出行有限责任公司</w:t>
            </w:r>
          </w:p>
        </w:tc>
        <w:tc>
          <w:tcPr>
            <w:tcW w:w="832"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辽宁省工业和信息化厅</w:t>
            </w:r>
          </w:p>
        </w:tc>
        <w:tc>
          <w:tcPr>
            <w:tcW w:w="520" w:type="pct"/>
            <w:vAlign w:val="center"/>
          </w:tcPr>
          <w:p>
            <w:pPr>
              <w:spacing w:line="240" w:lineRule="exact"/>
              <w:jc w:val="center"/>
              <w:rPr>
                <w:rFonts w:cs="宋体" w:asciiTheme="minorEastAsia" w:hAnsiTheme="minorEastAsia"/>
                <w:szCs w:val="21"/>
              </w:rPr>
            </w:pPr>
            <w:r>
              <w:rPr>
                <w:rFonts w:hint="eastAsia" w:asciiTheme="minorEastAsia" w:hAnsiTheme="minorEastAsia"/>
                <w:szCs w:val="21"/>
              </w:rPr>
              <w:t>2021-12-30</w:t>
            </w:r>
          </w:p>
        </w:tc>
      </w:tr>
      <w:bookmarkEnd w:id="2"/>
    </w:tbl>
    <w:p>
      <w:pPr>
        <w:rPr>
          <w:rFonts w:asciiTheme="minorEastAsia" w:hAnsiTheme="minorEastAsia"/>
        </w:rPr>
        <w:sectPr>
          <w:pgSz w:w="16838" w:h="11906" w:orient="landscape"/>
          <w:pgMar w:top="1797" w:right="1440" w:bottom="1797" w:left="1440" w:header="851" w:footer="992" w:gutter="0"/>
          <w:pgNumType w:fmt="numberInDash"/>
          <w:cols w:space="425" w:num="1"/>
          <w:docGrid w:type="linesAndChars" w:linePitch="312" w:charSpace="0"/>
        </w:sectPr>
      </w:pPr>
    </w:p>
    <w:p>
      <w:pPr>
        <w:rPr>
          <w:rFonts w:ascii="黑体" w:hAnsi="黑体" w:eastAsia="黑体"/>
          <w:sz w:val="28"/>
          <w:szCs w:val="28"/>
        </w:rPr>
      </w:pPr>
      <w:r>
        <w:rPr>
          <w:rFonts w:hint="eastAsia" w:ascii="黑体" w:hAnsi="黑体" w:eastAsia="黑体"/>
          <w:sz w:val="28"/>
          <w:szCs w:val="28"/>
        </w:rPr>
        <w:t>附件2</w:t>
      </w:r>
    </w:p>
    <w:p>
      <w:pPr>
        <w:jc w:val="center"/>
        <w:rPr>
          <w:rFonts w:ascii="方正小标宋简体" w:hAnsi="方正小标宋简体" w:eastAsia="方正小标宋简体" w:cs="方正小标宋简体"/>
          <w:sz w:val="44"/>
          <w:szCs w:val="44"/>
        </w:rPr>
      </w:pPr>
      <w:bookmarkStart w:id="3" w:name="_GoBack"/>
      <w:bookmarkEnd w:id="3"/>
      <w:r>
        <w:rPr>
          <w:rFonts w:hint="eastAsia" w:ascii="方正小标宋简体" w:hAnsi="方正小标宋简体" w:eastAsia="方正小标宋简体" w:cs="方正小标宋简体"/>
          <w:sz w:val="44"/>
          <w:szCs w:val="44"/>
        </w:rPr>
        <w:t>地方标准实施效果结果汇总表</w:t>
      </w:r>
    </w:p>
    <w:p>
      <w:pPr>
        <w:jc w:val="left"/>
        <w:rPr>
          <w:rFonts w:asciiTheme="minorEastAsia" w:hAnsiTheme="minorEastAsia"/>
          <w:szCs w:val="21"/>
        </w:rPr>
      </w:pPr>
      <w:r>
        <w:rPr>
          <w:rFonts w:hint="eastAsia" w:asciiTheme="minorEastAsia" w:hAnsiTheme="minorEastAsia"/>
          <w:szCs w:val="21"/>
        </w:rPr>
        <w:t xml:space="preserve">归口部门（盖章）：                      联系人：                            联系方式：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39"/>
        <w:gridCol w:w="3055"/>
        <w:gridCol w:w="1418"/>
        <w:gridCol w:w="1701"/>
        <w:gridCol w:w="1417"/>
        <w:gridCol w:w="1584"/>
        <w:gridCol w:w="1713"/>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黑体" w:hAnsi="黑体" w:eastAsia="黑体"/>
              </w:rPr>
            </w:pPr>
            <w:r>
              <w:rPr>
                <w:rFonts w:hint="eastAsia" w:ascii="黑体" w:hAnsi="黑体" w:eastAsia="黑体"/>
              </w:rPr>
              <w:t>序号</w:t>
            </w:r>
          </w:p>
        </w:tc>
        <w:tc>
          <w:tcPr>
            <w:tcW w:w="1339" w:type="dxa"/>
            <w:vAlign w:val="center"/>
          </w:tcPr>
          <w:p>
            <w:pPr>
              <w:jc w:val="center"/>
              <w:rPr>
                <w:rFonts w:ascii="黑体" w:hAnsi="黑体" w:eastAsia="黑体"/>
              </w:rPr>
            </w:pPr>
            <w:r>
              <w:rPr>
                <w:rFonts w:hint="eastAsia" w:ascii="黑体" w:hAnsi="黑体" w:eastAsia="黑体"/>
              </w:rPr>
              <w:t>标准编号</w:t>
            </w:r>
          </w:p>
        </w:tc>
        <w:tc>
          <w:tcPr>
            <w:tcW w:w="3055" w:type="dxa"/>
            <w:vAlign w:val="center"/>
          </w:tcPr>
          <w:p>
            <w:pPr>
              <w:jc w:val="center"/>
              <w:rPr>
                <w:rFonts w:ascii="黑体" w:hAnsi="黑体" w:eastAsia="黑体"/>
              </w:rPr>
            </w:pPr>
            <w:r>
              <w:rPr>
                <w:rFonts w:hint="eastAsia" w:ascii="黑体" w:hAnsi="黑体" w:eastAsia="黑体"/>
              </w:rPr>
              <w:t>标准名称</w:t>
            </w:r>
          </w:p>
        </w:tc>
        <w:tc>
          <w:tcPr>
            <w:tcW w:w="1418" w:type="dxa"/>
            <w:vAlign w:val="center"/>
          </w:tcPr>
          <w:p>
            <w:pPr>
              <w:jc w:val="center"/>
              <w:rPr>
                <w:rFonts w:ascii="黑体" w:hAnsi="黑体" w:eastAsia="黑体"/>
              </w:rPr>
            </w:pPr>
            <w:r>
              <w:rPr>
                <w:rFonts w:hint="eastAsia" w:ascii="黑体" w:hAnsi="黑体" w:eastAsia="黑体"/>
              </w:rPr>
              <w:t>适用性</w:t>
            </w:r>
          </w:p>
        </w:tc>
        <w:tc>
          <w:tcPr>
            <w:tcW w:w="1701" w:type="dxa"/>
            <w:vAlign w:val="center"/>
          </w:tcPr>
          <w:p>
            <w:pPr>
              <w:jc w:val="center"/>
              <w:rPr>
                <w:rFonts w:ascii="黑体" w:hAnsi="黑体" w:eastAsia="黑体"/>
              </w:rPr>
            </w:pPr>
            <w:r>
              <w:rPr>
                <w:rFonts w:hint="eastAsia" w:ascii="黑体" w:hAnsi="黑体" w:eastAsia="黑体"/>
              </w:rPr>
              <w:t>协调性</w:t>
            </w:r>
          </w:p>
        </w:tc>
        <w:tc>
          <w:tcPr>
            <w:tcW w:w="1417" w:type="dxa"/>
            <w:vAlign w:val="center"/>
          </w:tcPr>
          <w:p>
            <w:pPr>
              <w:jc w:val="center"/>
              <w:rPr>
                <w:rFonts w:ascii="黑体" w:hAnsi="黑体" w:eastAsia="黑体"/>
              </w:rPr>
            </w:pPr>
            <w:r>
              <w:rPr>
                <w:rFonts w:hint="eastAsia" w:ascii="黑体" w:hAnsi="黑体" w:eastAsia="黑体"/>
              </w:rPr>
              <w:t>是否被引用</w:t>
            </w:r>
          </w:p>
        </w:tc>
        <w:tc>
          <w:tcPr>
            <w:tcW w:w="1584" w:type="dxa"/>
            <w:vAlign w:val="center"/>
          </w:tcPr>
          <w:p>
            <w:pPr>
              <w:jc w:val="center"/>
              <w:rPr>
                <w:rFonts w:ascii="黑体" w:hAnsi="黑体" w:eastAsia="黑体"/>
              </w:rPr>
            </w:pPr>
            <w:r>
              <w:rPr>
                <w:rFonts w:hint="eastAsia" w:ascii="黑体" w:hAnsi="黑体" w:eastAsia="黑体"/>
              </w:rPr>
              <w:t>实施效益</w:t>
            </w:r>
          </w:p>
        </w:tc>
        <w:tc>
          <w:tcPr>
            <w:tcW w:w="1713" w:type="dxa"/>
            <w:vAlign w:val="center"/>
          </w:tcPr>
          <w:p>
            <w:pPr>
              <w:jc w:val="center"/>
              <w:rPr>
                <w:rFonts w:ascii="黑体" w:hAnsi="黑体" w:eastAsia="黑体"/>
              </w:rPr>
            </w:pPr>
            <w:r>
              <w:rPr>
                <w:rFonts w:hint="eastAsia" w:ascii="黑体" w:hAnsi="黑体" w:eastAsia="黑体"/>
              </w:rPr>
              <w:t>实施效益定量</w:t>
            </w:r>
          </w:p>
        </w:tc>
        <w:tc>
          <w:tcPr>
            <w:tcW w:w="1130" w:type="dxa"/>
            <w:vAlign w:val="center"/>
          </w:tcPr>
          <w:p>
            <w:pPr>
              <w:jc w:val="center"/>
              <w:rPr>
                <w:rFonts w:ascii="黑体" w:hAnsi="黑体" w:eastAsia="黑体"/>
              </w:rPr>
            </w:pPr>
            <w:r>
              <w:rPr>
                <w:rFonts w:hint="eastAsia" w:ascii="黑体" w:hAnsi="黑体" w:eastAsia="黑体"/>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Theme="minorEastAsia" w:hAnsiTheme="minorEastAsia"/>
              </w:rPr>
            </w:pPr>
            <w:r>
              <w:rPr>
                <w:rFonts w:hint="eastAsia" w:asciiTheme="minorEastAsia" w:hAnsiTheme="minorEastAsia"/>
              </w:rPr>
              <w:t>1</w:t>
            </w:r>
          </w:p>
        </w:tc>
        <w:tc>
          <w:tcPr>
            <w:tcW w:w="1339" w:type="dxa"/>
            <w:vAlign w:val="center"/>
          </w:tcPr>
          <w:p>
            <w:pPr>
              <w:jc w:val="center"/>
              <w:rPr>
                <w:rFonts w:asciiTheme="minorEastAsia" w:hAnsiTheme="minorEastAsia"/>
              </w:rPr>
            </w:pPr>
          </w:p>
        </w:tc>
        <w:tc>
          <w:tcPr>
            <w:tcW w:w="3055" w:type="dxa"/>
            <w:vAlign w:val="center"/>
          </w:tcPr>
          <w:p>
            <w:pPr>
              <w:jc w:val="center"/>
            </w:pPr>
          </w:p>
        </w:tc>
        <w:tc>
          <w:tcPr>
            <w:tcW w:w="1418" w:type="dxa"/>
            <w:vAlign w:val="center"/>
          </w:tcPr>
          <w:p>
            <w:pPr>
              <w:jc w:val="cente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701" w:type="dxa"/>
            <w:vAlign w:val="center"/>
          </w:tcPr>
          <w:p>
            <w:pPr>
              <w:jc w:val="center"/>
              <w:rPr>
                <w:rFonts w:asciiTheme="minorEastAsia" w:hAnsiTheme="minorEastAsia"/>
              </w:rPr>
            </w:pPr>
            <w:r>
              <w:rPr>
                <w:rFonts w:hint="eastAsia" w:asciiTheme="minorEastAsia" w:hAnsiTheme="minorEastAsia"/>
              </w:rPr>
              <w:t>满足</w:t>
            </w:r>
            <w:r>
              <w:rPr>
                <w:rFonts w:asciiTheme="minorEastAsia" w:hAnsiTheme="minorEastAsia"/>
              </w:rPr>
              <w:sym w:font="Wingdings" w:char="00A8"/>
            </w:r>
            <w:r>
              <w:rPr>
                <w:rFonts w:hint="eastAsia" w:asciiTheme="minorEastAsia" w:hAnsiTheme="minorEastAsia"/>
              </w:rPr>
              <w:t>不满足</w:t>
            </w:r>
            <w:r>
              <w:rPr>
                <w:rFonts w:asciiTheme="minorEastAsia" w:hAnsiTheme="minorEastAsia"/>
              </w:rPr>
              <w:sym w:font="Wingdings" w:char="00A8"/>
            </w:r>
          </w:p>
        </w:tc>
        <w:tc>
          <w:tcPr>
            <w:tcW w:w="1417" w:type="dxa"/>
            <w:vAlign w:val="center"/>
          </w:tcPr>
          <w:p>
            <w:pPr>
              <w:jc w:val="center"/>
              <w:rPr>
                <w:rFonts w:asciiTheme="minorEastAsia" w:hAnsiTheme="minorEastAsia" w:cstheme="minorEastAsia"/>
              </w:rP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584" w:type="dxa"/>
            <w:vAlign w:val="center"/>
          </w:tcPr>
          <w:p>
            <w:pPr>
              <w:jc w:val="center"/>
              <w:rPr>
                <w:rFonts w:asciiTheme="minorEastAsia" w:hAnsiTheme="minorEastAsia"/>
              </w:rPr>
            </w:pPr>
            <w:r>
              <w:rPr>
                <w:rFonts w:hint="eastAsia" w:asciiTheme="minorEastAsia" w:hAnsiTheme="minorEastAsia"/>
              </w:rPr>
              <w:t>经济效益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社会效益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生态效益</w:t>
            </w:r>
            <w:r>
              <w:rPr>
                <w:rFonts w:asciiTheme="minorEastAsia" w:hAnsiTheme="minorEastAsia"/>
              </w:rPr>
              <w:sym w:font="Wingdings" w:char="00A8"/>
            </w:r>
          </w:p>
        </w:tc>
        <w:tc>
          <w:tcPr>
            <w:tcW w:w="1713" w:type="dxa"/>
            <w:vAlign w:val="center"/>
          </w:tcPr>
          <w:p>
            <w:pPr>
              <w:jc w:val="center"/>
              <w:rPr>
                <w:rFonts w:asciiTheme="minorEastAsia" w:hAnsiTheme="minorEastAsia"/>
              </w:rPr>
            </w:pPr>
            <w:r>
              <w:rPr>
                <w:rFonts w:hint="eastAsia" w:asciiTheme="minorEastAsia" w:hAnsiTheme="minorEastAsia"/>
              </w:rPr>
              <w:t>选填</w:t>
            </w:r>
          </w:p>
        </w:tc>
        <w:tc>
          <w:tcPr>
            <w:tcW w:w="1130"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Theme="minorEastAsia" w:hAnsiTheme="minorEastAsia"/>
              </w:rPr>
            </w:pPr>
            <w:r>
              <w:rPr>
                <w:rFonts w:hint="eastAsia" w:asciiTheme="minorEastAsia" w:hAnsiTheme="minorEastAsia"/>
              </w:rPr>
              <w:t>2</w:t>
            </w:r>
          </w:p>
        </w:tc>
        <w:tc>
          <w:tcPr>
            <w:tcW w:w="1339" w:type="dxa"/>
            <w:vAlign w:val="center"/>
          </w:tcPr>
          <w:p>
            <w:pPr>
              <w:jc w:val="center"/>
              <w:rPr>
                <w:rFonts w:asciiTheme="minorEastAsia" w:hAnsiTheme="minorEastAsia"/>
              </w:rPr>
            </w:pPr>
          </w:p>
        </w:tc>
        <w:tc>
          <w:tcPr>
            <w:tcW w:w="3055" w:type="dxa"/>
            <w:vAlign w:val="center"/>
          </w:tcPr>
          <w:p>
            <w:pPr>
              <w:jc w:val="center"/>
            </w:pPr>
          </w:p>
        </w:tc>
        <w:tc>
          <w:tcPr>
            <w:tcW w:w="1418" w:type="dxa"/>
            <w:shd w:val="clear" w:color="auto" w:fill="auto"/>
            <w:vAlign w:val="center"/>
          </w:tcPr>
          <w:p>
            <w:pPr>
              <w:jc w:val="cente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701" w:type="dxa"/>
            <w:shd w:val="clear" w:color="auto" w:fill="auto"/>
            <w:vAlign w:val="center"/>
          </w:tcPr>
          <w:p>
            <w:pPr>
              <w:jc w:val="center"/>
              <w:rPr>
                <w:rFonts w:asciiTheme="minorEastAsia" w:hAnsiTheme="minorEastAsia"/>
              </w:rPr>
            </w:pPr>
            <w:r>
              <w:rPr>
                <w:rFonts w:hint="eastAsia" w:asciiTheme="minorEastAsia" w:hAnsiTheme="minorEastAsia"/>
              </w:rPr>
              <w:t>满足</w:t>
            </w:r>
            <w:r>
              <w:rPr>
                <w:rFonts w:asciiTheme="minorEastAsia" w:hAnsiTheme="minorEastAsia"/>
              </w:rPr>
              <w:sym w:font="Wingdings" w:char="00A8"/>
            </w:r>
            <w:r>
              <w:rPr>
                <w:rFonts w:hint="eastAsia" w:asciiTheme="minorEastAsia" w:hAnsiTheme="minorEastAsia"/>
              </w:rPr>
              <w:t>不满足</w:t>
            </w:r>
            <w:r>
              <w:rPr>
                <w:rFonts w:asciiTheme="minorEastAsia" w:hAnsiTheme="minorEastAsia"/>
              </w:rPr>
              <w:sym w:font="Wingdings" w:char="00A8"/>
            </w:r>
          </w:p>
        </w:tc>
        <w:tc>
          <w:tcPr>
            <w:tcW w:w="1417" w:type="dxa"/>
            <w:shd w:val="clear" w:color="auto" w:fill="auto"/>
            <w:vAlign w:val="center"/>
          </w:tcPr>
          <w:p>
            <w:pPr>
              <w:jc w:val="center"/>
              <w:rPr>
                <w:rFonts w:asciiTheme="minorEastAsia" w:hAnsiTheme="minorEastAsia" w:cstheme="minorEastAsia"/>
              </w:rP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584" w:type="dxa"/>
            <w:shd w:val="clear" w:color="auto" w:fill="auto"/>
            <w:vAlign w:val="center"/>
          </w:tcPr>
          <w:p>
            <w:pPr>
              <w:jc w:val="center"/>
              <w:rPr>
                <w:rFonts w:asciiTheme="minorEastAsia" w:hAnsiTheme="minorEastAsia"/>
              </w:rPr>
            </w:pPr>
            <w:r>
              <w:rPr>
                <w:rFonts w:hint="eastAsia" w:asciiTheme="minorEastAsia" w:hAnsiTheme="minorEastAsia"/>
              </w:rPr>
              <w:t>经济效益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社会效益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生态效益</w:t>
            </w:r>
            <w:r>
              <w:rPr>
                <w:rFonts w:asciiTheme="minorEastAsia" w:hAnsiTheme="minorEastAsia"/>
              </w:rPr>
              <w:sym w:font="Wingdings" w:char="00A8"/>
            </w:r>
          </w:p>
        </w:tc>
        <w:tc>
          <w:tcPr>
            <w:tcW w:w="1713" w:type="dxa"/>
            <w:shd w:val="clear" w:color="auto" w:fill="auto"/>
            <w:vAlign w:val="center"/>
          </w:tcPr>
          <w:p>
            <w:pPr>
              <w:jc w:val="center"/>
              <w:rPr>
                <w:rFonts w:asciiTheme="minorEastAsia" w:hAnsiTheme="minorEastAsia"/>
              </w:rPr>
            </w:pPr>
            <w:r>
              <w:rPr>
                <w:rFonts w:hint="eastAsia" w:asciiTheme="minorEastAsia" w:hAnsiTheme="minorEastAsia"/>
              </w:rPr>
              <w:t>选填</w:t>
            </w:r>
          </w:p>
        </w:tc>
        <w:tc>
          <w:tcPr>
            <w:tcW w:w="1130"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jc w:val="center"/>
              <w:rPr>
                <w:rFonts w:asciiTheme="minorEastAsia" w:hAnsiTheme="minorEastAsia"/>
              </w:rPr>
            </w:pPr>
            <w:r>
              <w:rPr>
                <w:rFonts w:hint="eastAsia" w:asciiTheme="minorEastAsia" w:hAnsiTheme="minorEastAsia"/>
              </w:rPr>
              <w:t>3</w:t>
            </w:r>
          </w:p>
        </w:tc>
        <w:tc>
          <w:tcPr>
            <w:tcW w:w="1339" w:type="dxa"/>
            <w:vAlign w:val="center"/>
          </w:tcPr>
          <w:p>
            <w:pPr>
              <w:jc w:val="center"/>
              <w:rPr>
                <w:rFonts w:asciiTheme="minorEastAsia" w:hAnsiTheme="minorEastAsia"/>
              </w:rPr>
            </w:pPr>
          </w:p>
        </w:tc>
        <w:tc>
          <w:tcPr>
            <w:tcW w:w="3055" w:type="dxa"/>
            <w:vAlign w:val="center"/>
          </w:tcPr>
          <w:p>
            <w:pPr>
              <w:jc w:val="center"/>
            </w:pPr>
          </w:p>
        </w:tc>
        <w:tc>
          <w:tcPr>
            <w:tcW w:w="1418" w:type="dxa"/>
            <w:shd w:val="clear" w:color="auto" w:fill="auto"/>
            <w:vAlign w:val="center"/>
          </w:tcPr>
          <w:p>
            <w:pPr>
              <w:jc w:val="cente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701" w:type="dxa"/>
            <w:shd w:val="clear" w:color="auto" w:fill="auto"/>
            <w:vAlign w:val="center"/>
          </w:tcPr>
          <w:p>
            <w:pPr>
              <w:jc w:val="center"/>
              <w:rPr>
                <w:rFonts w:asciiTheme="minorEastAsia" w:hAnsiTheme="minorEastAsia"/>
              </w:rPr>
            </w:pPr>
            <w:r>
              <w:rPr>
                <w:rFonts w:hint="eastAsia" w:asciiTheme="minorEastAsia" w:hAnsiTheme="minorEastAsia"/>
              </w:rPr>
              <w:t>满足</w:t>
            </w:r>
            <w:r>
              <w:rPr>
                <w:rFonts w:asciiTheme="minorEastAsia" w:hAnsiTheme="minorEastAsia"/>
              </w:rPr>
              <w:sym w:font="Wingdings" w:char="00A8"/>
            </w:r>
            <w:r>
              <w:rPr>
                <w:rFonts w:hint="eastAsia" w:asciiTheme="minorEastAsia" w:hAnsiTheme="minorEastAsia"/>
              </w:rPr>
              <w:t>不满足</w:t>
            </w:r>
            <w:r>
              <w:rPr>
                <w:rFonts w:asciiTheme="minorEastAsia" w:hAnsiTheme="minorEastAsia"/>
              </w:rPr>
              <w:sym w:font="Wingdings" w:char="00A8"/>
            </w:r>
          </w:p>
        </w:tc>
        <w:tc>
          <w:tcPr>
            <w:tcW w:w="1417" w:type="dxa"/>
            <w:shd w:val="clear" w:color="auto" w:fill="auto"/>
            <w:vAlign w:val="center"/>
          </w:tcPr>
          <w:p>
            <w:pPr>
              <w:jc w:val="center"/>
              <w:rPr>
                <w:rFonts w:asciiTheme="minorEastAsia" w:hAnsiTheme="minorEastAsia" w:cstheme="minorEastAsia"/>
              </w:rPr>
            </w:pPr>
            <w:r>
              <w:rPr>
                <w:rFonts w:hint="eastAsia" w:asciiTheme="minorEastAsia" w:hAnsiTheme="minorEastAsia"/>
              </w:rPr>
              <w:t>是</w:t>
            </w:r>
            <w:r>
              <w:rPr>
                <w:rFonts w:asciiTheme="minorEastAsia" w:hAnsiTheme="minorEastAsia"/>
              </w:rPr>
              <w:sym w:font="Wingdings" w:char="00A8"/>
            </w:r>
            <w:r>
              <w:rPr>
                <w:rFonts w:hint="eastAsia" w:asciiTheme="minorEastAsia" w:hAnsiTheme="minorEastAsia"/>
              </w:rPr>
              <w:t>否</w:t>
            </w:r>
            <w:r>
              <w:rPr>
                <w:rFonts w:asciiTheme="minorEastAsia" w:hAnsiTheme="minorEastAsia"/>
              </w:rPr>
              <w:sym w:font="Wingdings" w:char="00A8"/>
            </w:r>
          </w:p>
        </w:tc>
        <w:tc>
          <w:tcPr>
            <w:tcW w:w="1584" w:type="dxa"/>
            <w:shd w:val="clear" w:color="auto" w:fill="auto"/>
            <w:vAlign w:val="center"/>
          </w:tcPr>
          <w:p>
            <w:pPr>
              <w:jc w:val="center"/>
              <w:rPr>
                <w:rFonts w:asciiTheme="minorEastAsia" w:hAnsiTheme="minorEastAsia"/>
              </w:rPr>
            </w:pPr>
            <w:r>
              <w:rPr>
                <w:rFonts w:hint="eastAsia" w:asciiTheme="minorEastAsia" w:hAnsiTheme="minorEastAsia"/>
              </w:rPr>
              <w:t>经济效益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社会效益</w:t>
            </w:r>
            <w:r>
              <w:rPr>
                <w:rFonts w:asciiTheme="minorEastAsia" w:hAnsiTheme="minorEastAsia"/>
              </w:rPr>
              <w:sym w:font="Wingdings" w:char="00A8"/>
            </w:r>
          </w:p>
          <w:p>
            <w:pPr>
              <w:jc w:val="center"/>
              <w:rPr>
                <w:rFonts w:asciiTheme="minorEastAsia" w:hAnsiTheme="minorEastAsia"/>
              </w:rPr>
            </w:pPr>
            <w:r>
              <w:rPr>
                <w:rFonts w:hint="eastAsia" w:asciiTheme="minorEastAsia" w:hAnsiTheme="minorEastAsia"/>
              </w:rPr>
              <w:t>生态效益</w:t>
            </w:r>
            <w:r>
              <w:rPr>
                <w:rFonts w:asciiTheme="minorEastAsia" w:hAnsiTheme="minorEastAsia"/>
              </w:rPr>
              <w:sym w:font="Wingdings" w:char="00A8"/>
            </w:r>
          </w:p>
        </w:tc>
        <w:tc>
          <w:tcPr>
            <w:tcW w:w="1713" w:type="dxa"/>
            <w:shd w:val="clear" w:color="auto" w:fill="auto"/>
            <w:vAlign w:val="center"/>
          </w:tcPr>
          <w:p>
            <w:pPr>
              <w:jc w:val="center"/>
              <w:rPr>
                <w:rFonts w:asciiTheme="minorEastAsia" w:hAnsiTheme="minorEastAsia"/>
              </w:rPr>
            </w:pPr>
            <w:r>
              <w:rPr>
                <w:rFonts w:hint="eastAsia" w:asciiTheme="minorEastAsia" w:hAnsiTheme="minorEastAsia"/>
              </w:rPr>
              <w:t>选填</w:t>
            </w:r>
          </w:p>
        </w:tc>
        <w:tc>
          <w:tcPr>
            <w:tcW w:w="1130"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Pr>
          <w:p>
            <w:pPr>
              <w:jc w:val="center"/>
            </w:pPr>
          </w:p>
        </w:tc>
        <w:tc>
          <w:tcPr>
            <w:tcW w:w="1339" w:type="dxa"/>
          </w:tcPr>
          <w:p>
            <w:pPr>
              <w:jc w:val="center"/>
            </w:pPr>
          </w:p>
        </w:tc>
        <w:tc>
          <w:tcPr>
            <w:tcW w:w="3055" w:type="dxa"/>
          </w:tcPr>
          <w:p>
            <w:pPr>
              <w:jc w:val="center"/>
            </w:pPr>
          </w:p>
        </w:tc>
        <w:tc>
          <w:tcPr>
            <w:tcW w:w="1418" w:type="dxa"/>
            <w:vAlign w:val="center"/>
          </w:tcPr>
          <w:p>
            <w:pPr>
              <w:jc w:val="center"/>
              <w:rPr>
                <w:rFonts w:asciiTheme="minorEastAsia" w:hAnsiTheme="minorEastAsia" w:cstheme="minorEastAsia"/>
              </w:rPr>
            </w:pPr>
          </w:p>
        </w:tc>
        <w:tc>
          <w:tcPr>
            <w:tcW w:w="1701" w:type="dxa"/>
          </w:tcPr>
          <w:p>
            <w:pPr>
              <w:jc w:val="center"/>
            </w:pPr>
          </w:p>
        </w:tc>
        <w:tc>
          <w:tcPr>
            <w:tcW w:w="1417" w:type="dxa"/>
          </w:tcPr>
          <w:p>
            <w:pPr>
              <w:jc w:val="center"/>
            </w:pPr>
          </w:p>
        </w:tc>
        <w:tc>
          <w:tcPr>
            <w:tcW w:w="1584" w:type="dxa"/>
          </w:tcPr>
          <w:p>
            <w:pPr>
              <w:jc w:val="center"/>
            </w:pPr>
          </w:p>
        </w:tc>
        <w:tc>
          <w:tcPr>
            <w:tcW w:w="1713" w:type="dxa"/>
          </w:tcPr>
          <w:p>
            <w:pPr>
              <w:jc w:val="center"/>
            </w:pPr>
          </w:p>
        </w:tc>
        <w:tc>
          <w:tcPr>
            <w:tcW w:w="113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Pr>
          <w:p>
            <w:pPr>
              <w:jc w:val="center"/>
            </w:pPr>
          </w:p>
        </w:tc>
        <w:tc>
          <w:tcPr>
            <w:tcW w:w="1339" w:type="dxa"/>
          </w:tcPr>
          <w:p>
            <w:pPr>
              <w:jc w:val="center"/>
            </w:pPr>
          </w:p>
        </w:tc>
        <w:tc>
          <w:tcPr>
            <w:tcW w:w="3055" w:type="dxa"/>
          </w:tcPr>
          <w:p>
            <w:pPr>
              <w:jc w:val="center"/>
            </w:pPr>
          </w:p>
        </w:tc>
        <w:tc>
          <w:tcPr>
            <w:tcW w:w="1418" w:type="dxa"/>
            <w:vAlign w:val="center"/>
          </w:tcPr>
          <w:p>
            <w:pPr>
              <w:jc w:val="center"/>
              <w:rPr>
                <w:rFonts w:asciiTheme="minorEastAsia" w:hAnsiTheme="minorEastAsia" w:cstheme="minorEastAsia"/>
              </w:rPr>
            </w:pPr>
          </w:p>
        </w:tc>
        <w:tc>
          <w:tcPr>
            <w:tcW w:w="1701" w:type="dxa"/>
          </w:tcPr>
          <w:p>
            <w:pPr>
              <w:jc w:val="center"/>
            </w:pPr>
          </w:p>
        </w:tc>
        <w:tc>
          <w:tcPr>
            <w:tcW w:w="1417" w:type="dxa"/>
          </w:tcPr>
          <w:p>
            <w:pPr>
              <w:jc w:val="center"/>
            </w:pPr>
          </w:p>
        </w:tc>
        <w:tc>
          <w:tcPr>
            <w:tcW w:w="1584" w:type="dxa"/>
          </w:tcPr>
          <w:p>
            <w:pPr>
              <w:jc w:val="center"/>
            </w:pPr>
          </w:p>
        </w:tc>
        <w:tc>
          <w:tcPr>
            <w:tcW w:w="1713" w:type="dxa"/>
          </w:tcPr>
          <w:p>
            <w:pPr>
              <w:jc w:val="center"/>
            </w:pPr>
          </w:p>
        </w:tc>
        <w:tc>
          <w:tcPr>
            <w:tcW w:w="113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Pr>
          <w:p>
            <w:pPr>
              <w:jc w:val="center"/>
            </w:pPr>
          </w:p>
        </w:tc>
        <w:tc>
          <w:tcPr>
            <w:tcW w:w="1339" w:type="dxa"/>
          </w:tcPr>
          <w:p>
            <w:pPr>
              <w:jc w:val="center"/>
            </w:pPr>
          </w:p>
        </w:tc>
        <w:tc>
          <w:tcPr>
            <w:tcW w:w="3055" w:type="dxa"/>
          </w:tcPr>
          <w:p>
            <w:pPr>
              <w:jc w:val="center"/>
            </w:pPr>
          </w:p>
        </w:tc>
        <w:tc>
          <w:tcPr>
            <w:tcW w:w="1418" w:type="dxa"/>
            <w:vAlign w:val="center"/>
          </w:tcPr>
          <w:p>
            <w:pPr>
              <w:jc w:val="center"/>
              <w:rPr>
                <w:rFonts w:asciiTheme="minorEastAsia" w:hAnsiTheme="minorEastAsia" w:cstheme="minorEastAsia"/>
              </w:rPr>
            </w:pPr>
          </w:p>
        </w:tc>
        <w:tc>
          <w:tcPr>
            <w:tcW w:w="1701" w:type="dxa"/>
          </w:tcPr>
          <w:p>
            <w:pPr>
              <w:jc w:val="center"/>
            </w:pPr>
          </w:p>
        </w:tc>
        <w:tc>
          <w:tcPr>
            <w:tcW w:w="1417" w:type="dxa"/>
          </w:tcPr>
          <w:p>
            <w:pPr>
              <w:jc w:val="center"/>
            </w:pPr>
          </w:p>
        </w:tc>
        <w:tc>
          <w:tcPr>
            <w:tcW w:w="1584" w:type="dxa"/>
          </w:tcPr>
          <w:p>
            <w:pPr>
              <w:jc w:val="center"/>
            </w:pPr>
          </w:p>
        </w:tc>
        <w:tc>
          <w:tcPr>
            <w:tcW w:w="1713" w:type="dxa"/>
          </w:tcPr>
          <w:p>
            <w:pPr>
              <w:jc w:val="center"/>
            </w:pPr>
          </w:p>
        </w:tc>
        <w:tc>
          <w:tcPr>
            <w:tcW w:w="113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tcPr>
          <w:p>
            <w:pPr>
              <w:jc w:val="center"/>
            </w:pPr>
          </w:p>
        </w:tc>
        <w:tc>
          <w:tcPr>
            <w:tcW w:w="1339" w:type="dxa"/>
          </w:tcPr>
          <w:p>
            <w:pPr>
              <w:jc w:val="center"/>
            </w:pPr>
          </w:p>
        </w:tc>
        <w:tc>
          <w:tcPr>
            <w:tcW w:w="3055" w:type="dxa"/>
          </w:tcPr>
          <w:p>
            <w:pPr>
              <w:jc w:val="center"/>
            </w:pPr>
          </w:p>
        </w:tc>
        <w:tc>
          <w:tcPr>
            <w:tcW w:w="1418" w:type="dxa"/>
            <w:vAlign w:val="center"/>
          </w:tcPr>
          <w:p>
            <w:pPr>
              <w:jc w:val="center"/>
              <w:rPr>
                <w:rFonts w:asciiTheme="minorEastAsia" w:hAnsiTheme="minorEastAsia" w:cstheme="minorEastAsia"/>
              </w:rPr>
            </w:pPr>
          </w:p>
        </w:tc>
        <w:tc>
          <w:tcPr>
            <w:tcW w:w="1701" w:type="dxa"/>
          </w:tcPr>
          <w:p>
            <w:pPr>
              <w:jc w:val="center"/>
            </w:pPr>
          </w:p>
        </w:tc>
        <w:tc>
          <w:tcPr>
            <w:tcW w:w="1417" w:type="dxa"/>
          </w:tcPr>
          <w:p>
            <w:pPr>
              <w:jc w:val="center"/>
            </w:pPr>
          </w:p>
        </w:tc>
        <w:tc>
          <w:tcPr>
            <w:tcW w:w="1584" w:type="dxa"/>
          </w:tcPr>
          <w:p>
            <w:pPr>
              <w:jc w:val="center"/>
            </w:pPr>
          </w:p>
        </w:tc>
        <w:tc>
          <w:tcPr>
            <w:tcW w:w="1713" w:type="dxa"/>
          </w:tcPr>
          <w:p>
            <w:pPr>
              <w:jc w:val="center"/>
            </w:pPr>
          </w:p>
        </w:tc>
        <w:tc>
          <w:tcPr>
            <w:tcW w:w="1130" w:type="dxa"/>
          </w:tcPr>
          <w:p>
            <w:pPr>
              <w:jc w:val="center"/>
            </w:pPr>
          </w:p>
        </w:tc>
      </w:tr>
    </w:tbl>
    <w:p>
      <w:pPr>
        <w:jc w:val="left"/>
        <w:rPr>
          <w:rFonts w:asciiTheme="minorEastAsia" w:hAnsiTheme="minorEastAsia"/>
          <w:szCs w:val="21"/>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5699648"/>
                          </w:sdtPr>
                          <w:sdtEndPr>
                            <w:rPr>
                              <w:sz w:val="24"/>
                              <w:szCs w:val="24"/>
                            </w:rPr>
                          </w:sdtEndPr>
                          <w:sdtContent>
                            <w:p>
                              <w:pPr>
                                <w:pStyle w:val="4"/>
                                <w:jc w:val="center"/>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PAGE   \* MERGEFORMAT</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lang w:val="zh-CN"/>
                                </w:rPr>
                                <w:t>-</w:t>
                              </w:r>
                              <w:r>
                                <w:rPr>
                                  <w:rFonts w:asciiTheme="minorEastAsia" w:hAnsiTheme="minorEastAsia" w:cstheme="minorEastAsia"/>
                                  <w:sz w:val="24"/>
                                  <w:szCs w:val="24"/>
                                </w:rPr>
                                <w:t xml:space="preserve"> 75 -</w:t>
                              </w:r>
                              <w:r>
                                <w:rPr>
                                  <w:rFonts w:hint="eastAsia" w:asciiTheme="minorEastAsia" w:hAnsiTheme="minorEastAsia" w:cstheme="minorEastAsia"/>
                                  <w:sz w:val="24"/>
                                  <w:szCs w:val="24"/>
                                </w:rPr>
                                <w:fldChar w:fldCharType="end"/>
                              </w:r>
                            </w:p>
                          </w:sdtContent>
                        </w:sdt>
                        <w:p>
                          <w:pPr>
                            <w:rPr>
                              <w:sz w:val="24"/>
                              <w:szCs w:val="24"/>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605699648"/>
                    </w:sdtPr>
                    <w:sdtEndPr>
                      <w:rPr>
                        <w:sz w:val="24"/>
                        <w:szCs w:val="24"/>
                      </w:rPr>
                    </w:sdtEndPr>
                    <w:sdtContent>
                      <w:p>
                        <w:pPr>
                          <w:pStyle w:val="4"/>
                          <w:jc w:val="center"/>
                          <w:rPr>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PAGE   \* MERGEFORMAT</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lang w:val="zh-CN"/>
                          </w:rPr>
                          <w:t>-</w:t>
                        </w:r>
                        <w:r>
                          <w:rPr>
                            <w:rFonts w:asciiTheme="minorEastAsia" w:hAnsiTheme="minorEastAsia" w:cstheme="minorEastAsia"/>
                            <w:sz w:val="24"/>
                            <w:szCs w:val="24"/>
                          </w:rPr>
                          <w:t xml:space="preserve"> 75 -</w:t>
                        </w:r>
                        <w:r>
                          <w:rPr>
                            <w:rFonts w:hint="eastAsia" w:asciiTheme="minorEastAsia" w:hAnsiTheme="minorEastAsia" w:cstheme="minorEastAsia"/>
                            <w:sz w:val="24"/>
                            <w:szCs w:val="24"/>
                          </w:rPr>
                          <w:fldChar w:fldCharType="end"/>
                        </w:r>
                      </w:p>
                    </w:sdtContent>
                  </w:sdt>
                  <w:p>
                    <w:pPr>
                      <w:rPr>
                        <w:sz w:val="24"/>
                        <w:szCs w:val="24"/>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true"/>
  <w:embedTrueTypeFonts/>
  <w:saveSubsetFonts/>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CF"/>
    <w:rsid w:val="00013537"/>
    <w:rsid w:val="0002035D"/>
    <w:rsid w:val="0004010A"/>
    <w:rsid w:val="00052766"/>
    <w:rsid w:val="00061DDA"/>
    <w:rsid w:val="0006745D"/>
    <w:rsid w:val="000B61B5"/>
    <w:rsid w:val="000C08D1"/>
    <w:rsid w:val="00106D4D"/>
    <w:rsid w:val="0017467B"/>
    <w:rsid w:val="001D33F7"/>
    <w:rsid w:val="00200FC8"/>
    <w:rsid w:val="002560B3"/>
    <w:rsid w:val="002B5E38"/>
    <w:rsid w:val="003673DD"/>
    <w:rsid w:val="003B20D3"/>
    <w:rsid w:val="00412493"/>
    <w:rsid w:val="004368AE"/>
    <w:rsid w:val="00443C37"/>
    <w:rsid w:val="00477BC5"/>
    <w:rsid w:val="0048262A"/>
    <w:rsid w:val="004C1AB5"/>
    <w:rsid w:val="004E671C"/>
    <w:rsid w:val="005445D0"/>
    <w:rsid w:val="005A10D1"/>
    <w:rsid w:val="005A3D36"/>
    <w:rsid w:val="005D0029"/>
    <w:rsid w:val="005E4071"/>
    <w:rsid w:val="00623BAA"/>
    <w:rsid w:val="0063033B"/>
    <w:rsid w:val="00677308"/>
    <w:rsid w:val="006F488A"/>
    <w:rsid w:val="00757294"/>
    <w:rsid w:val="007E77A7"/>
    <w:rsid w:val="00845C2F"/>
    <w:rsid w:val="0089360D"/>
    <w:rsid w:val="008B4D02"/>
    <w:rsid w:val="008B551C"/>
    <w:rsid w:val="008C6A1D"/>
    <w:rsid w:val="00901B06"/>
    <w:rsid w:val="00933BC8"/>
    <w:rsid w:val="00991F4E"/>
    <w:rsid w:val="009A58C2"/>
    <w:rsid w:val="00A0437C"/>
    <w:rsid w:val="00A54CE3"/>
    <w:rsid w:val="00A87551"/>
    <w:rsid w:val="00AD716E"/>
    <w:rsid w:val="00AD777C"/>
    <w:rsid w:val="00AF6E26"/>
    <w:rsid w:val="00B666A8"/>
    <w:rsid w:val="00BA7F1D"/>
    <w:rsid w:val="00C31896"/>
    <w:rsid w:val="00C805F6"/>
    <w:rsid w:val="00D47456"/>
    <w:rsid w:val="00D97F5B"/>
    <w:rsid w:val="00DB495C"/>
    <w:rsid w:val="00DC579A"/>
    <w:rsid w:val="00E02B21"/>
    <w:rsid w:val="00E404BC"/>
    <w:rsid w:val="00E51E59"/>
    <w:rsid w:val="00E844CF"/>
    <w:rsid w:val="00F367A2"/>
    <w:rsid w:val="00F4716D"/>
    <w:rsid w:val="00F60D31"/>
    <w:rsid w:val="00F611F8"/>
    <w:rsid w:val="00FB6EA5"/>
    <w:rsid w:val="00FC2E8D"/>
    <w:rsid w:val="00FC3EA9"/>
    <w:rsid w:val="04A1166A"/>
    <w:rsid w:val="05504736"/>
    <w:rsid w:val="0DBF68FD"/>
    <w:rsid w:val="125F6546"/>
    <w:rsid w:val="17DD7C31"/>
    <w:rsid w:val="1B44116E"/>
    <w:rsid w:val="2DFFEB3F"/>
    <w:rsid w:val="31FF7272"/>
    <w:rsid w:val="345B087E"/>
    <w:rsid w:val="3EBFB0AB"/>
    <w:rsid w:val="3F6FB6EA"/>
    <w:rsid w:val="49B73E2E"/>
    <w:rsid w:val="55D6790C"/>
    <w:rsid w:val="574865E8"/>
    <w:rsid w:val="5DFAC66A"/>
    <w:rsid w:val="5EA860B5"/>
    <w:rsid w:val="63381C06"/>
    <w:rsid w:val="659D5469"/>
    <w:rsid w:val="6FEE55D2"/>
    <w:rsid w:val="731C0BFD"/>
    <w:rsid w:val="7676A91B"/>
    <w:rsid w:val="76F666C2"/>
    <w:rsid w:val="76FB6273"/>
    <w:rsid w:val="79955265"/>
    <w:rsid w:val="79C766C2"/>
    <w:rsid w:val="7BB05DB5"/>
    <w:rsid w:val="7BBDB261"/>
    <w:rsid w:val="7BF3F5C5"/>
    <w:rsid w:val="7CE119FE"/>
    <w:rsid w:val="7EEFC2C1"/>
    <w:rsid w:val="7EF50B33"/>
    <w:rsid w:val="7F93D7FF"/>
    <w:rsid w:val="7FEF084C"/>
    <w:rsid w:val="BAB7A588"/>
    <w:rsid w:val="CFF5D5A4"/>
    <w:rsid w:val="D777ABCB"/>
    <w:rsid w:val="ECFBD71D"/>
    <w:rsid w:val="EEBF5DC3"/>
    <w:rsid w:val="FCDD7CA6"/>
    <w:rsid w:val="FFDED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1 Char"/>
    <w:basedOn w:val="8"/>
    <w:link w:val="2"/>
    <w:qFormat/>
    <w:uiPriority w:val="9"/>
    <w:rPr>
      <w:b/>
      <w:bCs/>
      <w:kern w:val="44"/>
      <w:sz w:val="44"/>
      <w:szCs w:val="44"/>
    </w:rPr>
  </w:style>
  <w:style w:type="table" w:customStyle="1" w:styleId="13">
    <w:name w:val="网格型1"/>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83</Pages>
  <Words>17504</Words>
  <Characters>99773</Characters>
  <Lines>831</Lines>
  <Paragraphs>234</Paragraphs>
  <TotalTime>92</TotalTime>
  <ScaleCrop>false</ScaleCrop>
  <LinksUpToDate>false</LinksUpToDate>
  <CharactersWithSpaces>117043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2025-04-01T21:29:00Z</dcterms:created>
  <dc:creator>Windows 用户</dc:creator>
  <cp:lastModifiedBy>user</cp:lastModifiedBy>
  <cp:lastPrinted>2025-04-01T16:38:00Z</cp:lastPrinted>
  <dcterms:modified xsi:type="dcterms:W3CDTF">2025-04-03T08:59:20Z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eyJoZGlkIjoiYWUwN2YxYzFhZDliMGI4M2Y3ODY3YTg5OTgyNzJmMjkiLCJ1c2VySWQiOiIyMjczMTAzNDUifQ==</vt:lpwstr>
  </property>
  <property fmtid="{D5CDD505-2E9C-101B-9397-08002B2CF9AE}" pid="3" name="KSOProductBuildVer">
    <vt:lpwstr>2052-11.8.2.10386</vt:lpwstr>
  </property>
  <property fmtid="{D5CDD505-2E9C-101B-9397-08002B2CF9AE}" pid="4" name="ICV">
    <vt:lpwstr>1D0A6BEC82FE4D998A7C813060D446A0_13</vt:lpwstr>
  </property>
</Properties>
</file>